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09" w:rsidRDefault="007C1809" w:rsidP="007C1809">
      <w:r w:rsidRPr="007C1809">
        <w:rPr>
          <w:b/>
        </w:rPr>
        <w:t xml:space="preserve">Anexo </w:t>
      </w:r>
      <w:r w:rsidRPr="007C1809">
        <w:rPr>
          <w:b/>
        </w:rPr>
        <w:t>4</w:t>
      </w:r>
      <w:r w:rsidRPr="007C1809">
        <w:rPr>
          <w:b/>
        </w:rPr>
        <w:t>:</w:t>
      </w:r>
      <w:r>
        <w:t xml:space="preserve"> Propuestas emanadas de talleres de Indicadores a desarrollar para la ejecución del Programa de Acción Estratégica.</w:t>
      </w:r>
      <w:bookmarkStart w:id="0" w:name="_GoBack"/>
      <w:bookmarkEnd w:id="0"/>
    </w:p>
    <w:p w:rsidR="00031C7A" w:rsidRDefault="007C1809">
      <w:r>
        <w:t>.</w:t>
      </w:r>
    </w:p>
    <w:p w:rsidR="007C1809" w:rsidRDefault="007C1809"/>
    <w:tbl>
      <w:tblPr>
        <w:tblW w:w="5000" w:type="pct"/>
        <w:tblCellMar>
          <w:left w:w="70" w:type="dxa"/>
          <w:right w:w="70" w:type="dxa"/>
        </w:tblCellMar>
        <w:tblLook w:val="04A0" w:firstRow="1" w:lastRow="0" w:firstColumn="1" w:lastColumn="0" w:noHBand="0" w:noVBand="1"/>
      </w:tblPr>
      <w:tblGrid>
        <w:gridCol w:w="1369"/>
        <w:gridCol w:w="2936"/>
        <w:gridCol w:w="5045"/>
        <w:tblGridChange w:id="1">
          <w:tblGrid>
            <w:gridCol w:w="1369"/>
            <w:gridCol w:w="2936"/>
            <w:gridCol w:w="5045"/>
          </w:tblGrid>
        </w:tblGridChange>
      </w:tblGrid>
      <w:tr w:rsidR="00B95FD9" w:rsidRPr="00AF25F8" w:rsidTr="00031C7A">
        <w:trPr>
          <w:trHeight w:val="327"/>
        </w:trPr>
        <w:tc>
          <w:tcPr>
            <w:tcW w:w="732" w:type="pct"/>
            <w:tcBorders>
              <w:top w:val="single" w:sz="4" w:space="0" w:color="000000"/>
              <w:left w:val="single" w:sz="4" w:space="0" w:color="000000"/>
              <w:bottom w:val="single" w:sz="4" w:space="0" w:color="000000"/>
              <w:right w:val="single" w:sz="4" w:space="0" w:color="auto"/>
            </w:tcBorders>
            <w:shd w:val="clear" w:color="000000" w:fill="F2F2F2"/>
            <w:vAlign w:val="center"/>
            <w:hideMark/>
          </w:tcPr>
          <w:p w:rsidR="00B95FD9" w:rsidRPr="00AF25F8" w:rsidRDefault="00B95FD9" w:rsidP="00324DA1">
            <w:pPr>
              <w:jc w:val="center"/>
              <w:rPr>
                <w:rFonts w:ascii="Calibri" w:eastAsia="Times New Roman" w:hAnsi="Calibri" w:cs="Calibri"/>
                <w:b/>
                <w:bCs/>
                <w:color w:val="000000"/>
                <w:sz w:val="22"/>
                <w:szCs w:val="22"/>
                <w:lang w:eastAsia="es-MX"/>
              </w:rPr>
            </w:pPr>
            <w:r w:rsidRPr="00AF25F8">
              <w:rPr>
                <w:rFonts w:ascii="Calibri" w:eastAsia="Times New Roman" w:hAnsi="Calibri" w:cs="Calibri"/>
                <w:b/>
                <w:bCs/>
                <w:color w:val="000000"/>
                <w:sz w:val="22"/>
                <w:szCs w:val="22"/>
                <w:lang w:eastAsia="es-MX"/>
              </w:rPr>
              <w:t>Componente</w:t>
            </w:r>
          </w:p>
        </w:tc>
        <w:tc>
          <w:tcPr>
            <w:tcW w:w="1570" w:type="pct"/>
            <w:tcBorders>
              <w:top w:val="single" w:sz="4" w:space="0" w:color="auto"/>
              <w:left w:val="single" w:sz="4" w:space="0" w:color="auto"/>
              <w:bottom w:val="single" w:sz="4" w:space="0" w:color="auto"/>
              <w:right w:val="single" w:sz="4" w:space="0" w:color="auto"/>
            </w:tcBorders>
            <w:shd w:val="clear" w:color="000000" w:fill="F2F2F2"/>
          </w:tcPr>
          <w:p w:rsidR="00B95FD9" w:rsidRPr="00AF25F8" w:rsidRDefault="00B95FD9" w:rsidP="00324DA1">
            <w:pPr>
              <w:jc w:val="center"/>
              <w:rPr>
                <w:rFonts w:ascii="Calibri" w:eastAsia="Times New Roman" w:hAnsi="Calibri" w:cs="Calibri"/>
                <w:b/>
                <w:bCs/>
                <w:color w:val="000000"/>
                <w:sz w:val="22"/>
                <w:szCs w:val="22"/>
                <w:lang w:eastAsia="es-MX"/>
              </w:rPr>
            </w:pPr>
            <w:r>
              <w:rPr>
                <w:rFonts w:ascii="Calibri" w:eastAsia="Times New Roman" w:hAnsi="Calibri" w:cs="Calibri"/>
                <w:b/>
                <w:bCs/>
                <w:color w:val="000000"/>
                <w:sz w:val="22"/>
                <w:szCs w:val="22"/>
                <w:lang w:eastAsia="es-MX"/>
              </w:rPr>
              <w:t>Objetivo Estratégico</w:t>
            </w:r>
          </w:p>
        </w:tc>
        <w:tc>
          <w:tcPr>
            <w:tcW w:w="2699" w:type="pct"/>
            <w:tcBorders>
              <w:top w:val="single" w:sz="4" w:space="0" w:color="auto"/>
              <w:left w:val="single" w:sz="4" w:space="0" w:color="auto"/>
              <w:bottom w:val="single" w:sz="4" w:space="0" w:color="auto"/>
              <w:right w:val="single" w:sz="4" w:space="0" w:color="auto"/>
            </w:tcBorders>
            <w:shd w:val="clear" w:color="000000" w:fill="F2F2F2"/>
          </w:tcPr>
          <w:p w:rsidR="00B95FD9" w:rsidRPr="00AF25F8" w:rsidRDefault="00B95FD9" w:rsidP="00324DA1">
            <w:pPr>
              <w:jc w:val="center"/>
              <w:rPr>
                <w:rFonts w:ascii="Calibri" w:eastAsia="Times New Roman" w:hAnsi="Calibri" w:cs="Calibri"/>
                <w:b/>
                <w:bCs/>
                <w:color w:val="000000"/>
                <w:sz w:val="22"/>
                <w:szCs w:val="22"/>
                <w:lang w:eastAsia="es-MX"/>
              </w:rPr>
            </w:pPr>
            <w:r>
              <w:rPr>
                <w:rFonts w:ascii="Calibri" w:eastAsia="Times New Roman" w:hAnsi="Calibri" w:cs="Calibri"/>
                <w:b/>
                <w:bCs/>
                <w:color w:val="000000"/>
                <w:sz w:val="22"/>
                <w:szCs w:val="22"/>
                <w:lang w:eastAsia="es-MX"/>
              </w:rPr>
              <w:t>Indicadores</w:t>
            </w:r>
          </w:p>
        </w:tc>
      </w:tr>
      <w:tr w:rsidR="00B95FD9" w:rsidRPr="00261113" w:rsidTr="00031C7A">
        <w:trPr>
          <w:trHeight w:val="737"/>
        </w:trPr>
        <w:tc>
          <w:tcPr>
            <w:tcW w:w="732" w:type="pct"/>
            <w:tcBorders>
              <w:top w:val="nil"/>
              <w:left w:val="single" w:sz="4" w:space="0" w:color="000000"/>
              <w:bottom w:val="single" w:sz="4" w:space="0" w:color="000000"/>
              <w:right w:val="single" w:sz="4" w:space="0" w:color="auto"/>
            </w:tcBorders>
            <w:shd w:val="clear" w:color="auto" w:fill="auto"/>
            <w:vAlign w:val="center"/>
            <w:hideMark/>
          </w:tcPr>
          <w:p w:rsidR="00B95FD9" w:rsidRPr="002D0057" w:rsidRDefault="00B95FD9" w:rsidP="00564599">
            <w:pPr>
              <w:jc w:val="both"/>
              <w:rPr>
                <w:rFonts w:ascii="Calibri" w:eastAsia="Times New Roman" w:hAnsi="Calibri" w:cs="Calibri"/>
                <w:color w:val="000000"/>
                <w:sz w:val="20"/>
                <w:szCs w:val="20"/>
                <w:lang w:eastAsia="es-MX"/>
              </w:rPr>
            </w:pPr>
            <w:r w:rsidRPr="002D0057">
              <w:rPr>
                <w:rFonts w:ascii="Calibri" w:eastAsia="Times New Roman" w:hAnsi="Calibri" w:cs="Calibri"/>
                <w:color w:val="000000"/>
                <w:sz w:val="20"/>
                <w:szCs w:val="20"/>
                <w:lang w:eastAsia="es-MX"/>
              </w:rPr>
              <w:t>Pérdida de Biodiversidad</w:t>
            </w:r>
          </w:p>
        </w:tc>
        <w:tc>
          <w:tcPr>
            <w:tcW w:w="1570" w:type="pct"/>
            <w:tcBorders>
              <w:top w:val="single" w:sz="4" w:space="0" w:color="auto"/>
              <w:left w:val="single" w:sz="4" w:space="0" w:color="auto"/>
              <w:bottom w:val="single" w:sz="4" w:space="0" w:color="auto"/>
              <w:right w:val="single" w:sz="4" w:space="0" w:color="auto"/>
            </w:tcBorders>
          </w:tcPr>
          <w:p w:rsidR="00B95FD9" w:rsidRPr="002D0057" w:rsidRDefault="00B95FD9" w:rsidP="00564599">
            <w:pPr>
              <w:jc w:val="both"/>
              <w:rPr>
                <w:rFonts w:ascii="Calibri" w:eastAsia="Times New Roman" w:hAnsi="Calibri" w:cs="Calibri"/>
                <w:color w:val="000000"/>
                <w:sz w:val="20"/>
                <w:szCs w:val="20"/>
                <w:lang w:eastAsia="es-MX"/>
              </w:rPr>
            </w:pPr>
            <w:r w:rsidRPr="00C92BA3">
              <w:rPr>
                <w:rFonts w:ascii="Calibri" w:hAnsi="Calibri" w:cs="Calibri"/>
                <w:color w:val="000000" w:themeColor="text1"/>
                <w:sz w:val="20"/>
                <w:szCs w:val="20"/>
              </w:rPr>
              <w:t>Desarrollar e implementar estrategias de manejo integrado, a través de soluciones basadas en la naturaleza; iniciativas de conservación existentes; conocimientos ancestrales, científicos y de las mujeres; para prevenir, controlar y gestionar la conservación, cambio climático, restauración de ecosistemas y el manejo de las especies exóticas invasoras acuáticas y terrestres.</w:t>
            </w:r>
          </w:p>
        </w:tc>
        <w:tc>
          <w:tcPr>
            <w:tcW w:w="2699" w:type="pct"/>
            <w:tcBorders>
              <w:top w:val="single" w:sz="4" w:space="0" w:color="auto"/>
              <w:left w:val="single" w:sz="4" w:space="0" w:color="auto"/>
              <w:bottom w:val="single" w:sz="4" w:space="0" w:color="auto"/>
              <w:right w:val="single" w:sz="4" w:space="0" w:color="auto"/>
            </w:tcBorders>
          </w:tcPr>
          <w:p w:rsidR="00B95FD9" w:rsidRPr="00951DDA"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t xml:space="preserve">Cobertura forestal: Porcentaje de </w:t>
            </w:r>
            <w:r w:rsidRPr="00951DDA">
              <w:rPr>
                <w:rFonts w:ascii="Calibri" w:eastAsia="Times New Roman" w:hAnsi="Calibri" w:cs="Calibri"/>
                <w:color w:val="000000"/>
                <w:sz w:val="20"/>
                <w:szCs w:val="20"/>
                <w:lang w:eastAsia="es-MX"/>
              </w:rPr>
              <w:t xml:space="preserve">territorio cubierto por bosques (en hectáreas) </w:t>
            </w:r>
          </w:p>
          <w:p w:rsidR="00B95FD9" w:rsidRPr="00261113" w:rsidRDefault="00B95FD9" w:rsidP="00564599">
            <w:pPr>
              <w:jc w:val="both"/>
              <w:rPr>
                <w:rFonts w:ascii="Calibri" w:eastAsia="Times New Roman" w:hAnsi="Calibri" w:cs="Calibri"/>
                <w:color w:val="000000"/>
                <w:sz w:val="20"/>
                <w:szCs w:val="20"/>
                <w:lang w:eastAsia="es-MX"/>
              </w:rPr>
            </w:pPr>
          </w:p>
          <w:p w:rsidR="00B95FD9" w:rsidRPr="00924090" w:rsidRDefault="00B95FD9" w:rsidP="00564599">
            <w:pPr>
              <w:jc w:val="both"/>
              <w:rPr>
                <w:rFonts w:ascii="Calibri" w:eastAsia="Times New Roman" w:hAnsi="Calibri" w:cs="Calibri"/>
                <w:color w:val="000000"/>
                <w:sz w:val="20"/>
                <w:szCs w:val="20"/>
                <w:lang w:eastAsia="es-MX"/>
              </w:rPr>
            </w:pPr>
            <w:r w:rsidRPr="00261113">
              <w:rPr>
                <w:rFonts w:ascii="Calibri" w:eastAsia="Times New Roman" w:hAnsi="Calibri" w:cs="Calibri"/>
                <w:color w:val="000000"/>
                <w:sz w:val="20"/>
                <w:szCs w:val="20"/>
                <w:lang w:eastAsia="es-MX"/>
              </w:rPr>
              <w:t xml:space="preserve">Estrategias para la </w:t>
            </w:r>
            <w:r w:rsidRPr="00924090">
              <w:rPr>
                <w:rFonts w:ascii="Calibri" w:eastAsia="Times New Roman" w:hAnsi="Calibri" w:cs="Calibri"/>
                <w:color w:val="000000"/>
                <w:sz w:val="20"/>
                <w:szCs w:val="20"/>
                <w:lang w:eastAsia="es-MX"/>
              </w:rPr>
              <w:t xml:space="preserve">biodiversidad: </w:t>
            </w:r>
            <w:r w:rsidRPr="00564599">
              <w:rPr>
                <w:rFonts w:ascii="Calibri" w:eastAsia="Times New Roman" w:hAnsi="Calibri" w:cs="Calibri"/>
                <w:color w:val="000000"/>
                <w:sz w:val="20"/>
                <w:szCs w:val="20"/>
                <w:lang w:eastAsia="es-MX"/>
              </w:rPr>
              <w:t>Numero de estrategias de manejo integrado para prevenir, controlar y gestionar la conservación, cambio climático, restauración de ecosistemas y el manejo de las especies exóticas invasoras acuáticas y terrestres.</w:t>
            </w:r>
          </w:p>
          <w:p w:rsidR="00B95FD9" w:rsidRPr="00261113" w:rsidRDefault="00B95FD9" w:rsidP="00564599">
            <w:pPr>
              <w:jc w:val="both"/>
              <w:rPr>
                <w:rFonts w:ascii="Calibri" w:eastAsia="Times New Roman" w:hAnsi="Calibri" w:cs="Calibri"/>
                <w:color w:val="000000"/>
                <w:sz w:val="20"/>
                <w:szCs w:val="20"/>
                <w:lang w:eastAsia="es-MX"/>
              </w:rPr>
            </w:pPr>
          </w:p>
          <w:p w:rsidR="00B95FD9" w:rsidRPr="00564599" w:rsidRDefault="00B95FD9" w:rsidP="00564599">
            <w:pPr>
              <w:jc w:val="both"/>
              <w:rPr>
                <w:rFonts w:eastAsia="Times New Roman"/>
                <w:sz w:val="20"/>
                <w:szCs w:val="20"/>
                <w:lang w:eastAsia="es-MX"/>
              </w:rPr>
            </w:pPr>
            <w:r w:rsidRPr="00951DDA">
              <w:rPr>
                <w:rFonts w:ascii="Calibri" w:eastAsia="Times New Roman" w:hAnsi="Calibri" w:cs="Calibri"/>
                <w:color w:val="000000"/>
                <w:sz w:val="20"/>
                <w:szCs w:val="20"/>
                <w:lang w:eastAsia="es-MX"/>
              </w:rPr>
              <w:t xml:space="preserve">Sensibilización a la población: </w:t>
            </w:r>
            <w:r w:rsidRPr="00564599">
              <w:rPr>
                <w:rFonts w:eastAsia="Times New Roman"/>
                <w:sz w:val="20"/>
                <w:szCs w:val="20"/>
                <w:lang w:eastAsia="es-MX"/>
              </w:rPr>
              <w:t xml:space="preserve">Número de organizaciones participando en el sistema de monitoreo y control sobre </w:t>
            </w:r>
            <w:r w:rsidRPr="00FB4E5A">
              <w:rPr>
                <w:rFonts w:ascii="Calibri" w:eastAsia="Times New Roman" w:hAnsi="Calibri" w:cs="Calibri"/>
                <w:sz w:val="20"/>
                <w:szCs w:val="20"/>
                <w:lang w:eastAsia="es-MX"/>
              </w:rPr>
              <w:t>pérdida</w:t>
            </w:r>
            <w:r>
              <w:rPr>
                <w:rFonts w:ascii="Calibri" w:eastAsia="Times New Roman" w:hAnsi="Calibri" w:cs="Calibri"/>
                <w:sz w:val="20"/>
                <w:szCs w:val="20"/>
                <w:lang w:eastAsia="es-MX"/>
              </w:rPr>
              <w:t xml:space="preserve"> de biodiversidad.</w:t>
            </w:r>
          </w:p>
          <w:p w:rsidR="00B95FD9" w:rsidRPr="00564599" w:rsidRDefault="00B95FD9" w:rsidP="00564599">
            <w:pPr>
              <w:jc w:val="both"/>
              <w:rPr>
                <w:rFonts w:ascii="Calibri" w:eastAsia="Times New Roman" w:hAnsi="Calibri" w:cs="Calibri"/>
                <w:color w:val="000000"/>
                <w:sz w:val="20"/>
                <w:szCs w:val="20"/>
                <w:lang w:eastAsia="es-MX"/>
              </w:rPr>
            </w:pPr>
            <w:r w:rsidRPr="00564599">
              <w:rPr>
                <w:rFonts w:ascii="Calibri" w:eastAsia="Times New Roman" w:hAnsi="Calibri" w:cs="Calibri"/>
                <w:color w:val="000000"/>
                <w:sz w:val="20"/>
                <w:szCs w:val="20"/>
                <w:lang w:eastAsia="es-MX"/>
              </w:rPr>
              <w:t xml:space="preserve">Número de actividades y personas sensibilizadas (desglosado por sexo y país) </w:t>
            </w:r>
          </w:p>
          <w:p w:rsidR="00B95FD9" w:rsidRPr="00924090" w:rsidRDefault="00B95FD9" w:rsidP="00564599">
            <w:pPr>
              <w:jc w:val="both"/>
              <w:rPr>
                <w:rFonts w:ascii="Calibri" w:eastAsia="Times New Roman" w:hAnsi="Calibri" w:cs="Calibri"/>
                <w:color w:val="000000"/>
                <w:sz w:val="20"/>
                <w:szCs w:val="20"/>
                <w:lang w:eastAsia="es-MX"/>
              </w:rPr>
            </w:pPr>
          </w:p>
          <w:p w:rsidR="00B95FD9" w:rsidRPr="00261113" w:rsidRDefault="00B95FD9" w:rsidP="00564599">
            <w:pPr>
              <w:jc w:val="both"/>
              <w:rPr>
                <w:rFonts w:ascii="Calibri" w:eastAsia="Times New Roman" w:hAnsi="Calibri" w:cs="Calibri"/>
                <w:color w:val="000000"/>
                <w:sz w:val="20"/>
                <w:szCs w:val="20"/>
                <w:lang w:eastAsia="es-MX"/>
              </w:rPr>
            </w:pPr>
          </w:p>
        </w:tc>
      </w:tr>
      <w:tr w:rsidR="00B95FD9" w:rsidRPr="00924090" w:rsidTr="00031C7A">
        <w:trPr>
          <w:trHeight w:val="1475"/>
        </w:trPr>
        <w:tc>
          <w:tcPr>
            <w:tcW w:w="732" w:type="pct"/>
            <w:tcBorders>
              <w:top w:val="nil"/>
              <w:left w:val="single" w:sz="4" w:space="0" w:color="000000"/>
              <w:bottom w:val="single" w:sz="4" w:space="0" w:color="000000"/>
              <w:right w:val="single" w:sz="4" w:space="0" w:color="auto"/>
            </w:tcBorders>
            <w:shd w:val="clear" w:color="auto" w:fill="auto"/>
            <w:vAlign w:val="center"/>
            <w:hideMark/>
          </w:tcPr>
          <w:p w:rsidR="00B95FD9" w:rsidRPr="002D0057" w:rsidRDefault="00B95FD9" w:rsidP="00564599">
            <w:pPr>
              <w:jc w:val="both"/>
              <w:rPr>
                <w:rFonts w:ascii="Calibri" w:eastAsia="Times New Roman" w:hAnsi="Calibri" w:cs="Calibri"/>
                <w:color w:val="000000"/>
                <w:sz w:val="20"/>
                <w:szCs w:val="20"/>
                <w:lang w:eastAsia="es-MX"/>
              </w:rPr>
            </w:pPr>
            <w:r w:rsidRPr="002D0057">
              <w:rPr>
                <w:rFonts w:ascii="Calibri" w:eastAsia="Times New Roman" w:hAnsi="Calibri" w:cs="Calibri"/>
                <w:color w:val="000000"/>
                <w:sz w:val="20"/>
                <w:szCs w:val="20"/>
                <w:lang w:eastAsia="es-MX"/>
              </w:rPr>
              <w:t>Contaminación Hídrica</w:t>
            </w:r>
          </w:p>
        </w:tc>
        <w:tc>
          <w:tcPr>
            <w:tcW w:w="1570" w:type="pct"/>
            <w:tcBorders>
              <w:top w:val="single" w:sz="4" w:space="0" w:color="auto"/>
              <w:left w:val="single" w:sz="4" w:space="0" w:color="auto"/>
              <w:bottom w:val="single" w:sz="4" w:space="0" w:color="auto"/>
              <w:right w:val="single" w:sz="4" w:space="0" w:color="auto"/>
            </w:tcBorders>
          </w:tcPr>
          <w:p w:rsidR="00B95FD9" w:rsidRPr="00564599" w:rsidRDefault="00B95FD9" w:rsidP="00564599">
            <w:pPr>
              <w:jc w:val="both"/>
              <w:rPr>
                <w:rFonts w:ascii="Calibri" w:hAnsi="Calibri" w:cs="Calibri"/>
                <w:color w:val="000000" w:themeColor="text1"/>
                <w:sz w:val="20"/>
                <w:szCs w:val="20"/>
              </w:rPr>
            </w:pPr>
            <w:r w:rsidRPr="00564599">
              <w:rPr>
                <w:rFonts w:ascii="Calibri" w:hAnsi="Calibri" w:cs="Calibri"/>
                <w:color w:val="000000" w:themeColor="text1"/>
                <w:sz w:val="20"/>
                <w:szCs w:val="20"/>
              </w:rPr>
              <w:t>Promover que los modelos socioeconómicos conlleven a una producción sostenible, a la prevención remediación y monitoreo de la contaminación y la gestión integral de residuos, impulsando la innovación y el avance hacia la economía circular, respetando la interculturalidad y con justicia de género.</w:t>
            </w:r>
          </w:p>
        </w:tc>
        <w:tc>
          <w:tcPr>
            <w:tcW w:w="2699" w:type="pct"/>
            <w:tcBorders>
              <w:top w:val="single" w:sz="4" w:space="0" w:color="auto"/>
              <w:left w:val="single" w:sz="4" w:space="0" w:color="auto"/>
              <w:bottom w:val="single" w:sz="4" w:space="0" w:color="auto"/>
              <w:right w:val="single" w:sz="4" w:space="0" w:color="auto"/>
            </w:tcBorders>
          </w:tcPr>
          <w:p w:rsidR="00B95FD9" w:rsidRPr="00924090"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t xml:space="preserve">Concentración de metales pesados: </w:t>
            </w:r>
            <w:r w:rsidRPr="00951DDA">
              <w:rPr>
                <w:rFonts w:ascii="Calibri" w:eastAsia="Times New Roman" w:hAnsi="Calibri" w:cs="Calibri"/>
                <w:color w:val="000000"/>
                <w:sz w:val="20"/>
                <w:szCs w:val="20"/>
                <w:lang w:eastAsia="es-MX"/>
              </w:rPr>
              <w:t>Cantidad de metales pesados disueltos en el agua, como plomo, mercurio, cadmio, arsénico y c</w:t>
            </w:r>
            <w:r w:rsidRPr="00261113">
              <w:rPr>
                <w:rFonts w:ascii="Calibri" w:eastAsia="Times New Roman" w:hAnsi="Calibri" w:cs="Calibri"/>
                <w:color w:val="000000"/>
                <w:sz w:val="20"/>
                <w:szCs w:val="20"/>
                <w:lang w:eastAsia="es-MX"/>
              </w:rPr>
              <w:t>romo. Los metales pesados son contaminantes tóxicos que pueden provenir de diversas fuentes, incluidas actividades industriales, agrícolas, minería y desechos urbanos (Microgramos por litro (mg/L)</w:t>
            </w:r>
          </w:p>
          <w:p w:rsidR="00B95FD9" w:rsidRPr="00924090" w:rsidRDefault="00B95FD9" w:rsidP="00564599">
            <w:pPr>
              <w:jc w:val="both"/>
              <w:rPr>
                <w:rFonts w:ascii="Calibri" w:eastAsia="Times New Roman" w:hAnsi="Calibri" w:cs="Calibri"/>
                <w:color w:val="000000"/>
                <w:sz w:val="20"/>
                <w:szCs w:val="20"/>
                <w:lang w:eastAsia="es-MX"/>
              </w:rPr>
            </w:pPr>
          </w:p>
          <w:p w:rsidR="00B95FD9" w:rsidRPr="00924090"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t xml:space="preserve">Diversificación productiva: </w:t>
            </w:r>
            <w:r w:rsidRPr="00951DDA">
              <w:rPr>
                <w:rFonts w:ascii="Calibri" w:eastAsia="Times New Roman" w:hAnsi="Calibri" w:cs="Calibri"/>
                <w:color w:val="000000"/>
                <w:sz w:val="20"/>
                <w:szCs w:val="20"/>
                <w:lang w:eastAsia="es-MX"/>
              </w:rPr>
              <w:t>Superficie de tierra en programas de diversificación produc</w:t>
            </w:r>
            <w:r w:rsidRPr="00261113">
              <w:rPr>
                <w:rFonts w:ascii="Calibri" w:eastAsia="Times New Roman" w:hAnsi="Calibri" w:cs="Calibri"/>
                <w:color w:val="000000"/>
                <w:sz w:val="20"/>
                <w:szCs w:val="20"/>
                <w:lang w:eastAsia="es-MX"/>
              </w:rPr>
              <w:t>tiva en fomento a la</w:t>
            </w:r>
            <w:r w:rsidRPr="00924090">
              <w:rPr>
                <w:rFonts w:ascii="Calibri" w:eastAsia="Times New Roman" w:hAnsi="Calibri" w:cs="Calibri"/>
                <w:color w:val="000000"/>
                <w:sz w:val="20"/>
                <w:szCs w:val="20"/>
                <w:lang w:eastAsia="es-MX"/>
              </w:rPr>
              <w:t xml:space="preserve"> resiliencia de los cultivos y disminución de la carga química (en hectáreas); </w:t>
            </w:r>
            <w:r w:rsidRPr="00564599">
              <w:rPr>
                <w:rFonts w:ascii="Calibri" w:eastAsia="Times New Roman" w:hAnsi="Calibri" w:cs="Times New Roman"/>
                <w:sz w:val="20"/>
                <w:szCs w:val="20"/>
              </w:rPr>
              <w:t>Índice de inclusión de mujeres en mercados para la comercialización de productos agrícolas</w:t>
            </w:r>
            <w:r w:rsidRPr="00924090">
              <w:rPr>
                <w:rFonts w:ascii="Calibri" w:eastAsia="Times New Roman" w:hAnsi="Calibri" w:cs="Calibri"/>
                <w:color w:val="000000"/>
                <w:sz w:val="20"/>
                <w:szCs w:val="20"/>
                <w:lang w:eastAsia="es-MX"/>
              </w:rPr>
              <w:t xml:space="preserve"> </w:t>
            </w:r>
          </w:p>
          <w:p w:rsidR="00B95FD9" w:rsidRPr="00261113" w:rsidRDefault="00B95FD9" w:rsidP="00564599">
            <w:pPr>
              <w:jc w:val="both"/>
              <w:rPr>
                <w:rFonts w:ascii="Calibri" w:eastAsia="Times New Roman" w:hAnsi="Calibri" w:cs="Calibri"/>
                <w:color w:val="000000"/>
                <w:sz w:val="20"/>
                <w:szCs w:val="20"/>
                <w:lang w:eastAsia="es-MX"/>
              </w:rPr>
            </w:pPr>
          </w:p>
          <w:p w:rsidR="00B95FD9" w:rsidRPr="00924090" w:rsidRDefault="00B95FD9" w:rsidP="00564599">
            <w:pPr>
              <w:jc w:val="both"/>
              <w:rPr>
                <w:rFonts w:ascii="Calibri" w:eastAsia="Times New Roman" w:hAnsi="Calibri" w:cs="Calibri"/>
                <w:color w:val="000000"/>
                <w:sz w:val="20"/>
                <w:szCs w:val="20"/>
                <w:lang w:eastAsia="es-MX"/>
              </w:rPr>
            </w:pPr>
            <w:r w:rsidRPr="00261113">
              <w:rPr>
                <w:rFonts w:ascii="Calibri" w:eastAsia="Times New Roman" w:hAnsi="Calibri" w:cs="Calibri"/>
                <w:color w:val="000000"/>
                <w:sz w:val="20"/>
                <w:szCs w:val="20"/>
                <w:lang w:eastAsia="es-MX"/>
              </w:rPr>
              <w:t>Estrategias</w:t>
            </w:r>
            <w:r w:rsidRPr="00924090">
              <w:rPr>
                <w:rFonts w:ascii="Calibri" w:eastAsia="Times New Roman" w:hAnsi="Calibri" w:cs="Calibri"/>
                <w:color w:val="000000"/>
                <w:sz w:val="20"/>
                <w:szCs w:val="20"/>
                <w:lang w:eastAsia="es-MX"/>
              </w:rPr>
              <w:t xml:space="preserve"> para la gestión de la sensibilización y la contaminación: Número de acciones dirigidas a la producción sostenible. Número de personas sensibilizadas en producción sostenible. </w:t>
            </w:r>
          </w:p>
        </w:tc>
      </w:tr>
      <w:tr w:rsidR="00B95FD9" w:rsidRPr="00261113" w:rsidTr="00031C7A">
        <w:trPr>
          <w:trHeight w:val="274"/>
        </w:trPr>
        <w:tc>
          <w:tcPr>
            <w:tcW w:w="732" w:type="pct"/>
            <w:tcBorders>
              <w:top w:val="nil"/>
              <w:left w:val="single" w:sz="4" w:space="0" w:color="000000"/>
              <w:bottom w:val="single" w:sz="4" w:space="0" w:color="000000"/>
              <w:right w:val="single" w:sz="4" w:space="0" w:color="auto"/>
            </w:tcBorders>
            <w:shd w:val="clear" w:color="auto" w:fill="auto"/>
            <w:vAlign w:val="center"/>
            <w:hideMark/>
          </w:tcPr>
          <w:p w:rsidR="00B95FD9" w:rsidRPr="002D0057" w:rsidRDefault="00B95FD9" w:rsidP="00564599">
            <w:pPr>
              <w:jc w:val="both"/>
              <w:rPr>
                <w:rFonts w:ascii="Calibri" w:eastAsia="Times New Roman" w:hAnsi="Calibri" w:cs="Calibri"/>
                <w:color w:val="000000"/>
                <w:sz w:val="20"/>
                <w:szCs w:val="20"/>
                <w:lang w:eastAsia="es-MX"/>
              </w:rPr>
            </w:pPr>
            <w:r w:rsidRPr="002D0057">
              <w:rPr>
                <w:rFonts w:ascii="Calibri" w:eastAsia="Times New Roman" w:hAnsi="Calibri" w:cs="Calibri"/>
                <w:color w:val="000000"/>
                <w:sz w:val="20"/>
                <w:szCs w:val="20"/>
                <w:lang w:eastAsia="es-MX"/>
              </w:rPr>
              <w:t>Acceso y disponibilidad de agua</w:t>
            </w:r>
          </w:p>
        </w:tc>
        <w:tc>
          <w:tcPr>
            <w:tcW w:w="1570" w:type="pct"/>
            <w:tcBorders>
              <w:top w:val="single" w:sz="4" w:space="0" w:color="auto"/>
              <w:left w:val="single" w:sz="4" w:space="0" w:color="auto"/>
              <w:bottom w:val="single" w:sz="4" w:space="0" w:color="auto"/>
              <w:right w:val="single" w:sz="4" w:space="0" w:color="auto"/>
            </w:tcBorders>
          </w:tcPr>
          <w:p w:rsidR="00B95FD9" w:rsidRPr="002D0057" w:rsidRDefault="00B95FD9" w:rsidP="00564599">
            <w:pPr>
              <w:jc w:val="both"/>
              <w:rPr>
                <w:rFonts w:ascii="Calibri" w:eastAsia="Times New Roman" w:hAnsi="Calibri" w:cs="Calibri"/>
                <w:color w:val="000000"/>
                <w:sz w:val="20"/>
                <w:szCs w:val="20"/>
                <w:lang w:eastAsia="es-MX"/>
              </w:rPr>
            </w:pPr>
            <w:r w:rsidRPr="00564599">
              <w:rPr>
                <w:rFonts w:ascii="Calibri" w:hAnsi="Calibri" w:cs="Calibri"/>
                <w:color w:val="000000" w:themeColor="text1"/>
                <w:sz w:val="20"/>
                <w:szCs w:val="20"/>
              </w:rPr>
              <w:t xml:space="preserve">Garantizar la protección y disponibilidad del agua, el acceso universal para consumo humano, potable y el saneamiento adecuado en todo el territorio bajo una gestión sostenible, </w:t>
            </w:r>
            <w:proofErr w:type="spellStart"/>
            <w:r w:rsidRPr="00564599">
              <w:rPr>
                <w:rFonts w:ascii="Calibri" w:hAnsi="Calibri" w:cs="Calibri"/>
                <w:color w:val="000000" w:themeColor="text1"/>
                <w:sz w:val="20"/>
                <w:szCs w:val="20"/>
              </w:rPr>
              <w:t>resiliente</w:t>
            </w:r>
            <w:proofErr w:type="spellEnd"/>
            <w:r w:rsidRPr="00564599">
              <w:rPr>
                <w:rFonts w:ascii="Calibri" w:hAnsi="Calibri" w:cs="Calibri"/>
                <w:color w:val="000000" w:themeColor="text1"/>
                <w:sz w:val="20"/>
                <w:szCs w:val="20"/>
              </w:rPr>
              <w:t xml:space="preserve">, innovadora y una gobernanza compartida, con perspectiva de género, inclusiva, que defiende los Derechos Indígenas y tribales con una GIRH planificada que valora el agua </w:t>
            </w:r>
            <w:r w:rsidRPr="00564599">
              <w:rPr>
                <w:rFonts w:ascii="Calibri" w:hAnsi="Calibri" w:cs="Calibri"/>
                <w:color w:val="000000" w:themeColor="text1"/>
                <w:sz w:val="20"/>
                <w:szCs w:val="20"/>
              </w:rPr>
              <w:lastRenderedPageBreak/>
              <w:t xml:space="preserve">como patrimonio cultural e </w:t>
            </w:r>
            <w:proofErr w:type="spellStart"/>
            <w:r w:rsidRPr="00564599">
              <w:rPr>
                <w:rFonts w:ascii="Calibri" w:hAnsi="Calibri" w:cs="Calibri"/>
                <w:color w:val="000000" w:themeColor="text1"/>
                <w:sz w:val="20"/>
                <w:szCs w:val="20"/>
              </w:rPr>
              <w:t>identitario</w:t>
            </w:r>
            <w:proofErr w:type="spellEnd"/>
            <w:r w:rsidRPr="00564599">
              <w:rPr>
                <w:rFonts w:ascii="Calibri" w:hAnsi="Calibri" w:cs="Calibri"/>
                <w:color w:val="000000" w:themeColor="text1"/>
                <w:sz w:val="20"/>
                <w:szCs w:val="20"/>
              </w:rPr>
              <w:t xml:space="preserve"> del territorio</w:t>
            </w:r>
          </w:p>
        </w:tc>
        <w:tc>
          <w:tcPr>
            <w:tcW w:w="2699" w:type="pct"/>
            <w:tcBorders>
              <w:top w:val="single" w:sz="4" w:space="0" w:color="auto"/>
              <w:left w:val="single" w:sz="4" w:space="0" w:color="auto"/>
              <w:bottom w:val="single" w:sz="4" w:space="0" w:color="auto"/>
              <w:right w:val="single" w:sz="4" w:space="0" w:color="auto"/>
            </w:tcBorders>
          </w:tcPr>
          <w:p w:rsidR="00B95FD9"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lastRenderedPageBreak/>
              <w:t xml:space="preserve">Cobertura de Agua </w:t>
            </w:r>
            <w:proofErr w:type="gramStart"/>
            <w:r w:rsidRPr="00924090">
              <w:rPr>
                <w:rFonts w:ascii="Calibri" w:eastAsia="Times New Roman" w:hAnsi="Calibri" w:cs="Calibri"/>
                <w:color w:val="000000"/>
                <w:sz w:val="20"/>
                <w:szCs w:val="20"/>
                <w:lang w:eastAsia="es-MX"/>
              </w:rPr>
              <w:t xml:space="preserve">Potable </w:t>
            </w:r>
            <w:r w:rsidRPr="00951DDA">
              <w:rPr>
                <w:rFonts w:ascii="Calibri" w:eastAsia="Times New Roman" w:hAnsi="Calibri" w:cs="Calibri"/>
                <w:color w:val="000000"/>
                <w:sz w:val="20"/>
                <w:szCs w:val="20"/>
                <w:lang w:eastAsia="es-MX"/>
              </w:rPr>
              <w:t>:</w:t>
            </w:r>
            <w:proofErr w:type="gramEnd"/>
            <w:r w:rsidRPr="00951DDA">
              <w:rPr>
                <w:rFonts w:ascii="Calibri" w:eastAsia="Times New Roman" w:hAnsi="Calibri" w:cs="Calibri"/>
                <w:color w:val="000000"/>
                <w:sz w:val="20"/>
                <w:szCs w:val="20"/>
                <w:lang w:eastAsia="es-MX"/>
              </w:rPr>
              <w:t xml:space="preserve"> </w:t>
            </w:r>
          </w:p>
          <w:p w:rsidR="00B95FD9" w:rsidRDefault="00B95FD9" w:rsidP="00324DA1">
            <w:pPr>
              <w:jc w:val="both"/>
              <w:rPr>
                <w:rFonts w:ascii="Calibri" w:eastAsia="Times New Roman" w:hAnsi="Calibri" w:cs="Calibri"/>
                <w:color w:val="000000"/>
                <w:sz w:val="20"/>
                <w:szCs w:val="20"/>
                <w:lang w:eastAsia="es-MX"/>
              </w:rPr>
            </w:pPr>
          </w:p>
          <w:p w:rsidR="00B95FD9" w:rsidRPr="00564599" w:rsidRDefault="00B95FD9" w:rsidP="00324DA1">
            <w:pPr>
              <w:jc w:val="both"/>
              <w:rPr>
                <w:rFonts w:ascii="Calibri" w:hAnsi="Calibri"/>
                <w:color w:val="4472C4"/>
                <w:sz w:val="20"/>
                <w:szCs w:val="20"/>
                <w:shd w:val="clear" w:color="auto" w:fill="FFFFFF"/>
              </w:rPr>
            </w:pPr>
            <w:r w:rsidRPr="00564599">
              <w:rPr>
                <w:rFonts w:ascii="Calibri" w:hAnsi="Calibri"/>
                <w:color w:val="4472C4"/>
                <w:sz w:val="20"/>
                <w:szCs w:val="20"/>
                <w:shd w:val="clear" w:color="auto" w:fill="FFFFFF"/>
              </w:rPr>
              <w:t xml:space="preserve">Porcentaje de población con acceso y disponibilidad de agua potable; Número de hogares conectados a la red de abastecimiento de agua potable (desagregada por número de hogares que corresponde a mujeres); Número de acueductos rurales en la cuenca categorizados según el estado de riesgo, estructura, operación, cobertura, capacidad hídrica comunidad y población abastecida. </w:t>
            </w:r>
          </w:p>
          <w:p w:rsidR="00B95FD9" w:rsidRPr="00564599" w:rsidRDefault="00B95FD9" w:rsidP="00564599">
            <w:pPr>
              <w:jc w:val="both"/>
              <w:rPr>
                <w:rFonts w:ascii="Calibri" w:hAnsi="Calibri"/>
                <w:color w:val="4472C4"/>
                <w:sz w:val="20"/>
                <w:szCs w:val="20"/>
                <w:shd w:val="clear" w:color="auto" w:fill="FFFFFF"/>
              </w:rPr>
            </w:pPr>
          </w:p>
          <w:p w:rsidR="00B95FD9" w:rsidRPr="00564599" w:rsidRDefault="00B95FD9" w:rsidP="00564599">
            <w:pPr>
              <w:jc w:val="both"/>
              <w:rPr>
                <w:rFonts w:ascii="Calibri" w:hAnsi="Calibri"/>
                <w:color w:val="4472C4"/>
                <w:sz w:val="20"/>
                <w:szCs w:val="20"/>
                <w:shd w:val="clear" w:color="auto" w:fill="FFFFFF"/>
              </w:rPr>
            </w:pPr>
            <w:r w:rsidRPr="00564599">
              <w:rPr>
                <w:rFonts w:ascii="Calibri" w:hAnsi="Calibri"/>
                <w:color w:val="4472C4"/>
                <w:sz w:val="20"/>
                <w:szCs w:val="20"/>
                <w:shd w:val="clear" w:color="auto" w:fill="FFFFFF"/>
              </w:rPr>
              <w:t xml:space="preserve">Sensibilización en GIRH: Número de estrategias de sensibilización en GIRH implementadas. Número de personas jóvenes, mujeres, población afrodescendiente y </w:t>
            </w:r>
            <w:r w:rsidRPr="00564599">
              <w:rPr>
                <w:rFonts w:ascii="Calibri" w:hAnsi="Calibri"/>
                <w:color w:val="4472C4"/>
                <w:sz w:val="20"/>
                <w:szCs w:val="20"/>
                <w:shd w:val="clear" w:color="auto" w:fill="FFFFFF"/>
              </w:rPr>
              <w:lastRenderedPageBreak/>
              <w:t>población indígena capacitadas en GIRH (desglosado por sexo y país)</w:t>
            </w:r>
          </w:p>
          <w:p w:rsidR="00B95FD9" w:rsidRPr="00564599" w:rsidRDefault="00B95FD9" w:rsidP="00564599">
            <w:pPr>
              <w:jc w:val="both"/>
              <w:rPr>
                <w:rFonts w:ascii="Calibri" w:hAnsi="Calibri"/>
                <w:color w:val="4472C4"/>
                <w:sz w:val="20"/>
                <w:szCs w:val="20"/>
                <w:shd w:val="clear" w:color="auto" w:fill="FFFFFF"/>
              </w:rPr>
            </w:pPr>
          </w:p>
          <w:p w:rsidR="00B95FD9" w:rsidRPr="00924090" w:rsidRDefault="00B95FD9" w:rsidP="00564599">
            <w:pPr>
              <w:jc w:val="both"/>
              <w:rPr>
                <w:rFonts w:ascii="Calibri" w:eastAsia="Times New Roman" w:hAnsi="Calibri" w:cs="Calibri"/>
                <w:color w:val="000000"/>
                <w:sz w:val="20"/>
                <w:szCs w:val="20"/>
                <w:lang w:eastAsia="es-MX"/>
              </w:rPr>
            </w:pPr>
            <w:r w:rsidRPr="00564599">
              <w:rPr>
                <w:rFonts w:ascii="Calibri" w:hAnsi="Calibri"/>
                <w:color w:val="4472C4"/>
                <w:sz w:val="20"/>
                <w:szCs w:val="20"/>
                <w:shd w:val="clear" w:color="auto" w:fill="FFFFFF"/>
              </w:rPr>
              <w:t xml:space="preserve">Participación: Porcentaje de </w:t>
            </w:r>
            <w:r w:rsidRPr="00564599">
              <w:rPr>
                <w:rStyle w:val="normaltextrun"/>
                <w:rFonts w:ascii="Calibri" w:hAnsi="Calibri"/>
                <w:color w:val="000000"/>
                <w:sz w:val="20"/>
                <w:szCs w:val="20"/>
                <w:bdr w:val="none" w:sz="0" w:space="0" w:color="auto" w:frame="1"/>
                <w:lang w:val="es-MX"/>
              </w:rPr>
              <w:t>participación de las mujeres y jóvenes en espacios de toma de decisión sobre el agua</w:t>
            </w:r>
          </w:p>
          <w:p w:rsidR="00B95FD9" w:rsidRPr="00261113" w:rsidRDefault="00B95FD9" w:rsidP="00564599">
            <w:pPr>
              <w:jc w:val="both"/>
              <w:rPr>
                <w:rFonts w:ascii="Calibri" w:eastAsia="Times New Roman" w:hAnsi="Calibri" w:cs="Calibri"/>
                <w:color w:val="000000"/>
                <w:sz w:val="20"/>
                <w:szCs w:val="20"/>
                <w:lang w:eastAsia="es-MX"/>
              </w:rPr>
            </w:pPr>
          </w:p>
        </w:tc>
      </w:tr>
      <w:tr w:rsidR="00B95FD9" w:rsidRPr="00924090" w:rsidTr="00031C7A">
        <w:trPr>
          <w:trHeight w:val="2213"/>
        </w:trPr>
        <w:tc>
          <w:tcPr>
            <w:tcW w:w="732" w:type="pct"/>
            <w:tcBorders>
              <w:top w:val="nil"/>
              <w:left w:val="single" w:sz="4" w:space="0" w:color="000000"/>
              <w:bottom w:val="single" w:sz="4" w:space="0" w:color="000000"/>
              <w:right w:val="single" w:sz="4" w:space="0" w:color="auto"/>
            </w:tcBorders>
            <w:shd w:val="clear" w:color="auto" w:fill="auto"/>
            <w:vAlign w:val="center"/>
            <w:hideMark/>
          </w:tcPr>
          <w:p w:rsidR="00B95FD9" w:rsidRPr="002D0057" w:rsidRDefault="00B95FD9" w:rsidP="00564599">
            <w:pPr>
              <w:jc w:val="both"/>
              <w:rPr>
                <w:rFonts w:ascii="Calibri" w:eastAsia="Times New Roman" w:hAnsi="Calibri" w:cs="Calibri"/>
                <w:color w:val="000000"/>
                <w:sz w:val="20"/>
                <w:szCs w:val="20"/>
                <w:lang w:eastAsia="es-MX"/>
              </w:rPr>
            </w:pPr>
            <w:r w:rsidRPr="002D0057">
              <w:rPr>
                <w:rFonts w:ascii="Calibri" w:eastAsia="Times New Roman" w:hAnsi="Calibri" w:cs="Calibri"/>
                <w:color w:val="000000"/>
                <w:sz w:val="20"/>
                <w:szCs w:val="20"/>
                <w:lang w:eastAsia="es-MX"/>
              </w:rPr>
              <w:lastRenderedPageBreak/>
              <w:t>Gobernanza Hídrica</w:t>
            </w:r>
          </w:p>
        </w:tc>
        <w:tc>
          <w:tcPr>
            <w:tcW w:w="1570" w:type="pct"/>
            <w:tcBorders>
              <w:top w:val="single" w:sz="4" w:space="0" w:color="auto"/>
              <w:left w:val="single" w:sz="4" w:space="0" w:color="auto"/>
              <w:bottom w:val="single" w:sz="4" w:space="0" w:color="auto"/>
              <w:right w:val="single" w:sz="4" w:space="0" w:color="auto"/>
            </w:tcBorders>
          </w:tcPr>
          <w:p w:rsidR="00B95FD9" w:rsidRPr="002D0057" w:rsidRDefault="00B95FD9" w:rsidP="00564599">
            <w:pPr>
              <w:jc w:val="both"/>
              <w:rPr>
                <w:rFonts w:ascii="Calibri" w:eastAsia="Times New Roman" w:hAnsi="Calibri" w:cs="Calibri"/>
                <w:color w:val="000000"/>
                <w:sz w:val="20"/>
                <w:szCs w:val="20"/>
                <w:lang w:eastAsia="es-MX"/>
              </w:rPr>
            </w:pPr>
            <w:r w:rsidRPr="00564599">
              <w:rPr>
                <w:rFonts w:ascii="Calibri" w:hAnsi="Calibri" w:cs="Calibri"/>
                <w:color w:val="000000"/>
                <w:sz w:val="20"/>
                <w:szCs w:val="20"/>
              </w:rPr>
              <w:t>Garantizar la implementación de la GIRH a través de una gobernanza con fiscalización y rendición de cuentas, transparente, eficiente, eficaz, que incorpore la cooperación y la participación activa de los actores involucrados, inclusiva, intercultural, con perspectiva de género que responda a las necesidades y dinámicas del territorio binacional.</w:t>
            </w:r>
          </w:p>
        </w:tc>
        <w:tc>
          <w:tcPr>
            <w:tcW w:w="2699" w:type="pct"/>
            <w:tcBorders>
              <w:top w:val="single" w:sz="4" w:space="0" w:color="auto"/>
              <w:left w:val="single" w:sz="4" w:space="0" w:color="auto"/>
              <w:bottom w:val="single" w:sz="4" w:space="0" w:color="auto"/>
              <w:right w:val="single" w:sz="4" w:space="0" w:color="auto"/>
            </w:tcBorders>
          </w:tcPr>
          <w:p w:rsidR="00B95FD9" w:rsidRPr="00564599" w:rsidRDefault="00B95FD9" w:rsidP="00564599">
            <w:pPr>
              <w:jc w:val="both"/>
              <w:rPr>
                <w:rFonts w:ascii="Calibri" w:eastAsia="Times New Roman" w:hAnsi="Calibri" w:cs="Times New Roman"/>
                <w:color w:val="000000"/>
                <w:sz w:val="20"/>
                <w:szCs w:val="20"/>
              </w:rPr>
            </w:pPr>
            <w:r w:rsidRPr="00924090">
              <w:rPr>
                <w:rFonts w:ascii="Calibri" w:eastAsia="Times New Roman" w:hAnsi="Calibri" w:cs="Calibri"/>
                <w:color w:val="000000"/>
                <w:sz w:val="20"/>
                <w:szCs w:val="20"/>
                <w:lang w:eastAsia="es-MX"/>
              </w:rPr>
              <w:t>Consolidació</w:t>
            </w:r>
            <w:r w:rsidRPr="00951DDA">
              <w:rPr>
                <w:rFonts w:ascii="Calibri" w:eastAsia="Times New Roman" w:hAnsi="Calibri" w:cs="Calibri"/>
                <w:color w:val="000000"/>
                <w:sz w:val="20"/>
                <w:szCs w:val="20"/>
                <w:lang w:eastAsia="es-MX"/>
              </w:rPr>
              <w:t xml:space="preserve">n del modelo de gobernanza hídrica: </w:t>
            </w:r>
            <w:r w:rsidRPr="00564599">
              <w:rPr>
                <w:rFonts w:ascii="Calibri" w:eastAsia="Times New Roman" w:hAnsi="Calibri" w:cs="Times New Roman"/>
                <w:color w:val="000000"/>
                <w:sz w:val="20"/>
                <w:szCs w:val="20"/>
                <w:lang w:val="es-ES"/>
              </w:rPr>
              <w:t xml:space="preserve">Número de reuniones o mesas de trabajo de la gestión de cuencas transfronteriza </w:t>
            </w:r>
            <w:r w:rsidRPr="00564599">
              <w:rPr>
                <w:rFonts w:ascii="Calibri" w:eastAsia="Times New Roman" w:hAnsi="Calibri" w:cs="Times New Roman"/>
                <w:color w:val="000000"/>
                <w:sz w:val="20"/>
                <w:szCs w:val="20"/>
              </w:rPr>
              <w:t xml:space="preserve">desglosada por país y entidad (sector privado, ADIS, Gobiernos locales, sociedad civil, otros). </w:t>
            </w:r>
          </w:p>
          <w:p w:rsidR="00B95FD9" w:rsidRDefault="00B95FD9" w:rsidP="00564599">
            <w:pPr>
              <w:jc w:val="both"/>
              <w:rPr>
                <w:rFonts w:ascii="Calibri" w:eastAsia="Times New Roman" w:hAnsi="Calibri" w:cs="Calibri"/>
                <w:color w:val="000000"/>
                <w:sz w:val="20"/>
                <w:szCs w:val="20"/>
                <w:lang w:eastAsia="es-MX"/>
              </w:rPr>
            </w:pPr>
          </w:p>
          <w:p w:rsidR="00B95FD9" w:rsidRPr="00951DDA" w:rsidRDefault="00B95FD9" w:rsidP="00324DA1">
            <w:pPr>
              <w:jc w:val="both"/>
              <w:rPr>
                <w:rFonts w:ascii="Calibri" w:eastAsia="Times New Roman" w:hAnsi="Calibri" w:cs="Calibri"/>
                <w:color w:val="000000"/>
                <w:sz w:val="20"/>
                <w:szCs w:val="20"/>
                <w:lang w:eastAsia="es-MX"/>
              </w:rPr>
            </w:pPr>
          </w:p>
          <w:p w:rsidR="00B95FD9" w:rsidRPr="00564599" w:rsidRDefault="00B95FD9" w:rsidP="00564599">
            <w:pPr>
              <w:jc w:val="both"/>
              <w:rPr>
                <w:rFonts w:ascii="Calibri" w:hAnsi="Calibri"/>
                <w:color w:val="000000"/>
                <w:sz w:val="20"/>
                <w:szCs w:val="20"/>
                <w:shd w:val="clear" w:color="auto" w:fill="FFFFFF"/>
              </w:rPr>
            </w:pPr>
            <w:r w:rsidRPr="00951DDA">
              <w:rPr>
                <w:rFonts w:ascii="Calibri" w:eastAsia="Times New Roman" w:hAnsi="Calibri" w:cs="Calibri"/>
                <w:color w:val="000000"/>
                <w:sz w:val="20"/>
                <w:szCs w:val="20"/>
                <w:lang w:eastAsia="es-MX"/>
              </w:rPr>
              <w:t>Participación</w:t>
            </w:r>
            <w:r w:rsidRPr="00ED2BBA">
              <w:rPr>
                <w:rFonts w:ascii="Calibri" w:eastAsia="Times New Roman" w:hAnsi="Calibri" w:cs="Calibri"/>
                <w:color w:val="000000"/>
                <w:sz w:val="20"/>
                <w:szCs w:val="20"/>
                <w:lang w:eastAsia="es-MX"/>
              </w:rPr>
              <w:t xml:space="preserve">: </w:t>
            </w:r>
            <w:r w:rsidRPr="00564599">
              <w:rPr>
                <w:rFonts w:ascii="Calibri" w:hAnsi="Calibri"/>
                <w:color w:val="000000"/>
                <w:sz w:val="20"/>
                <w:szCs w:val="20"/>
                <w:shd w:val="clear" w:color="auto" w:fill="FFFFFF"/>
              </w:rPr>
              <w:t>Porcentaje de mujeres participando activamente en instancias de gobernanza para la gestión integrada de los recursos hídricos de la Cuenca Binacional del río Sixaola. Porcentaje de participación de las gobernanzas de los pueblos y territorios indígenas en la instancia de gobernanza para la Gestión Integral de Recurso Hídrico de la cuenca binacional del rio Sixaola y en la gestión de riesgo</w:t>
            </w:r>
          </w:p>
          <w:p w:rsidR="00B95FD9" w:rsidRPr="00924090" w:rsidRDefault="00B95FD9" w:rsidP="00564599">
            <w:pPr>
              <w:jc w:val="both"/>
              <w:rPr>
                <w:rFonts w:ascii="Calibri" w:eastAsia="Times New Roman" w:hAnsi="Calibri" w:cs="Calibri"/>
                <w:color w:val="000000"/>
                <w:sz w:val="20"/>
                <w:szCs w:val="20"/>
                <w:lang w:eastAsia="es-MX"/>
              </w:rPr>
            </w:pPr>
          </w:p>
          <w:p w:rsidR="00B95FD9" w:rsidRPr="00924090"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t>Fortalecimiento</w:t>
            </w:r>
            <w:r w:rsidRPr="00951DDA">
              <w:rPr>
                <w:rFonts w:ascii="Calibri" w:eastAsia="Times New Roman" w:hAnsi="Calibri" w:cs="Calibri"/>
                <w:color w:val="000000"/>
                <w:sz w:val="20"/>
                <w:szCs w:val="20"/>
                <w:lang w:eastAsia="es-MX"/>
              </w:rPr>
              <w:t xml:space="preserve"> de capacidades: </w:t>
            </w:r>
            <w:r w:rsidRPr="00564599">
              <w:rPr>
                <w:rStyle w:val="normaltextrun"/>
                <w:rFonts w:ascii="Calibri" w:hAnsi="Calibri"/>
                <w:sz w:val="20"/>
                <w:szCs w:val="20"/>
                <w:shd w:val="clear" w:color="auto" w:fill="FFFFFF"/>
              </w:rPr>
              <w:t xml:space="preserve">Total </w:t>
            </w:r>
            <w:r w:rsidRPr="00564599">
              <w:rPr>
                <w:rStyle w:val="normaltextrun"/>
                <w:rFonts w:ascii="Calibri" w:hAnsi="Calibri"/>
                <w:color w:val="000000"/>
                <w:sz w:val="20"/>
                <w:szCs w:val="20"/>
                <w:shd w:val="clear" w:color="auto" w:fill="FFFFFF"/>
              </w:rPr>
              <w:t xml:space="preserve">de fondos gestionados para organizaciones de mujeres para apoyo a proyecto en economías verdes y GIRH. Número de personas capacidades en GIRH y gobernanza hídrica. Número de acciones en sensibilización; </w:t>
            </w:r>
            <w:r w:rsidRPr="00564599">
              <w:rPr>
                <w:rStyle w:val="normaltextrun"/>
                <w:rFonts w:ascii="Calibri" w:hAnsi="Calibri"/>
                <w:sz w:val="20"/>
                <w:szCs w:val="20"/>
              </w:rPr>
              <w:t>Conocimiento de las</w:t>
            </w:r>
            <w:r w:rsidRPr="00564599">
              <w:rPr>
                <w:rStyle w:val="normaltextrun"/>
                <w:rFonts w:ascii="Calibri" w:hAnsi="Calibri"/>
                <w:color w:val="000000"/>
                <w:sz w:val="20"/>
                <w:szCs w:val="20"/>
                <w:shd w:val="clear" w:color="auto" w:fill="FFFFFF"/>
              </w:rPr>
              <w:t xml:space="preserve"> mujeres en materia de prevención, erradicación y sanción de violencia de género a nivel local y regional que permita su empoderamiento y liderazgo dentro de la GIRH y la gobernanza. </w:t>
            </w:r>
            <w:r>
              <w:rPr>
                <w:rStyle w:val="normaltextrun"/>
                <w:rFonts w:ascii="Calibri" w:hAnsi="Calibri"/>
                <w:color w:val="000000"/>
                <w:sz w:val="20"/>
                <w:szCs w:val="20"/>
                <w:shd w:val="clear" w:color="auto" w:fill="FFFFFF"/>
              </w:rPr>
              <w:t xml:space="preserve">Conocimientos, actitudes y prácticas en igualdad de género para la GIRH. </w:t>
            </w:r>
          </w:p>
        </w:tc>
      </w:tr>
      <w:tr w:rsidR="00B95FD9" w:rsidRPr="00924090" w:rsidTr="00031C7A">
        <w:trPr>
          <w:trHeight w:val="841"/>
        </w:trPr>
        <w:tc>
          <w:tcPr>
            <w:tcW w:w="732" w:type="pct"/>
            <w:tcBorders>
              <w:top w:val="nil"/>
              <w:left w:val="single" w:sz="4" w:space="0" w:color="000000"/>
              <w:bottom w:val="single" w:sz="4" w:space="0" w:color="000000"/>
              <w:right w:val="single" w:sz="4" w:space="0" w:color="auto"/>
            </w:tcBorders>
            <w:shd w:val="clear" w:color="auto" w:fill="auto"/>
            <w:vAlign w:val="center"/>
            <w:hideMark/>
          </w:tcPr>
          <w:p w:rsidR="00B95FD9" w:rsidRPr="002D0057" w:rsidRDefault="00B95FD9" w:rsidP="00564599">
            <w:pPr>
              <w:jc w:val="both"/>
              <w:rPr>
                <w:rFonts w:ascii="Calibri" w:eastAsia="Times New Roman" w:hAnsi="Calibri" w:cs="Calibri"/>
                <w:color w:val="000000"/>
                <w:sz w:val="20"/>
                <w:szCs w:val="20"/>
                <w:lang w:eastAsia="es-MX"/>
              </w:rPr>
            </w:pPr>
            <w:r w:rsidRPr="002D0057">
              <w:rPr>
                <w:rFonts w:ascii="Calibri" w:eastAsia="Times New Roman" w:hAnsi="Calibri" w:cs="Calibri"/>
                <w:color w:val="000000"/>
                <w:sz w:val="20"/>
                <w:szCs w:val="20"/>
                <w:lang w:eastAsia="es-MX"/>
              </w:rPr>
              <w:t>Gestión del riesgo</w:t>
            </w:r>
          </w:p>
        </w:tc>
        <w:tc>
          <w:tcPr>
            <w:tcW w:w="1570" w:type="pct"/>
            <w:tcBorders>
              <w:top w:val="single" w:sz="4" w:space="0" w:color="auto"/>
              <w:left w:val="single" w:sz="4" w:space="0" w:color="auto"/>
              <w:bottom w:val="single" w:sz="4" w:space="0" w:color="auto"/>
              <w:right w:val="single" w:sz="4" w:space="0" w:color="auto"/>
            </w:tcBorders>
          </w:tcPr>
          <w:p w:rsidR="00B95FD9" w:rsidRPr="002D0057" w:rsidRDefault="00B95FD9" w:rsidP="00564599">
            <w:pPr>
              <w:jc w:val="both"/>
              <w:rPr>
                <w:rFonts w:ascii="Calibri" w:eastAsia="Times New Roman" w:hAnsi="Calibri" w:cs="Calibri"/>
                <w:color w:val="000000"/>
                <w:sz w:val="20"/>
                <w:szCs w:val="20"/>
                <w:lang w:eastAsia="es-MX"/>
              </w:rPr>
            </w:pPr>
            <w:r w:rsidRPr="00564599">
              <w:rPr>
                <w:rFonts w:ascii="Calibri" w:hAnsi="Calibri" w:cs="Calibri"/>
                <w:color w:val="000000"/>
                <w:sz w:val="20"/>
                <w:szCs w:val="20"/>
              </w:rPr>
              <w:t>Desarrollar un modelo integral de gestión del riesgo de desastres y atención de emergencias, apropiado a la cuenca, con perspectiva de género, respetuoso de los derechos indígenas, que sea inclusivo, intersectorial, intercultural y participativo</w:t>
            </w:r>
          </w:p>
        </w:tc>
        <w:tc>
          <w:tcPr>
            <w:tcW w:w="2699" w:type="pct"/>
            <w:tcBorders>
              <w:top w:val="single" w:sz="4" w:space="0" w:color="auto"/>
              <w:left w:val="single" w:sz="4" w:space="0" w:color="auto"/>
              <w:bottom w:val="single" w:sz="4" w:space="0" w:color="auto"/>
              <w:right w:val="single" w:sz="4" w:space="0" w:color="auto"/>
            </w:tcBorders>
          </w:tcPr>
          <w:p w:rsidR="00B95FD9" w:rsidRPr="00924090" w:rsidRDefault="00B95FD9" w:rsidP="00564599">
            <w:pPr>
              <w:jc w:val="both"/>
              <w:rPr>
                <w:rFonts w:ascii="Calibri" w:eastAsia="Times New Roman" w:hAnsi="Calibri" w:cs="Calibri"/>
                <w:color w:val="000000"/>
                <w:sz w:val="20"/>
                <w:szCs w:val="20"/>
                <w:lang w:eastAsia="es-MX"/>
              </w:rPr>
            </w:pPr>
            <w:r w:rsidRPr="00924090">
              <w:rPr>
                <w:rFonts w:ascii="Calibri" w:eastAsia="Times New Roman" w:hAnsi="Calibri" w:cs="Calibri"/>
                <w:color w:val="000000"/>
                <w:sz w:val="20"/>
                <w:szCs w:val="20"/>
                <w:lang w:eastAsia="es-MX"/>
              </w:rPr>
              <w:t>Cobertura de sistemas de alerta temprana binacional (SAT</w:t>
            </w:r>
            <w:r w:rsidRPr="00951DDA">
              <w:rPr>
                <w:rFonts w:ascii="Calibri" w:eastAsia="Times New Roman" w:hAnsi="Calibri" w:cs="Calibri"/>
                <w:color w:val="000000"/>
                <w:sz w:val="20"/>
                <w:szCs w:val="20"/>
                <w:lang w:eastAsia="es-MX"/>
              </w:rPr>
              <w:t xml:space="preserve">): índice de progreso en </w:t>
            </w:r>
            <w:r w:rsidRPr="00ED2BBA">
              <w:rPr>
                <w:rFonts w:ascii="Calibri" w:eastAsia="Times New Roman" w:hAnsi="Calibri" w:cs="Calibri"/>
                <w:color w:val="000000"/>
                <w:sz w:val="20"/>
                <w:szCs w:val="20"/>
                <w:lang w:eastAsia="es-MX"/>
              </w:rPr>
              <w:t>la gesti</w:t>
            </w:r>
            <w:r w:rsidRPr="00261113">
              <w:rPr>
                <w:rFonts w:ascii="Calibri" w:eastAsia="Times New Roman" w:hAnsi="Calibri" w:cs="Calibri"/>
                <w:color w:val="000000"/>
                <w:sz w:val="20"/>
                <w:szCs w:val="20"/>
                <w:lang w:eastAsia="es-MX"/>
              </w:rPr>
              <w:t>ón de riesgo de la cuenca</w:t>
            </w:r>
            <w:r w:rsidRPr="00924090">
              <w:rPr>
                <w:rFonts w:ascii="Calibri" w:eastAsia="Times New Roman" w:hAnsi="Calibri" w:cs="Calibri"/>
                <w:color w:val="000000"/>
                <w:sz w:val="20"/>
                <w:szCs w:val="20"/>
                <w:lang w:eastAsia="es-MX"/>
              </w:rPr>
              <w:t xml:space="preserve"> que contempla lo siguiente: </w:t>
            </w:r>
          </w:p>
          <w:p w:rsidR="00B95FD9" w:rsidRPr="00924090" w:rsidRDefault="00B95FD9" w:rsidP="00564599">
            <w:pPr>
              <w:jc w:val="both"/>
              <w:rPr>
                <w:rFonts w:ascii="Calibri" w:eastAsia="Times New Roman" w:hAnsi="Calibri" w:cs="Calibri"/>
                <w:color w:val="000000"/>
                <w:sz w:val="20"/>
                <w:szCs w:val="20"/>
                <w:lang w:eastAsia="es-MX"/>
              </w:rPr>
            </w:pPr>
          </w:p>
          <w:p w:rsidR="00B95FD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Porcentaje de población que es abarcada por planes comunales de emergencia</w:t>
            </w:r>
          </w:p>
          <w:p w:rsidR="00B95FD9" w:rsidRPr="00564599" w:rsidRDefault="00B95FD9" w:rsidP="00324DA1">
            <w:pPr>
              <w:shd w:val="clear" w:color="auto" w:fill="FFFFFF"/>
              <w:jc w:val="both"/>
              <w:rPr>
                <w:rFonts w:ascii="Calibri" w:hAnsi="Calibri"/>
                <w:color w:val="000000"/>
                <w:sz w:val="20"/>
                <w:szCs w:val="20"/>
              </w:rPr>
            </w:pPr>
          </w:p>
          <w:p w:rsidR="00B95FD9" w:rsidRPr="0056459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Número de estudios técnicos, herramientas técnicas y de sensibilización sobre escenarios de riesgos y cambio climático implementados en la cuenca </w:t>
            </w:r>
          </w:p>
          <w:p w:rsidR="00B95FD9" w:rsidRPr="0056459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Porcentaje de mujeres en coordinación de los Comités Locales de Emergencia. </w:t>
            </w:r>
          </w:p>
          <w:p w:rsidR="00B95FD9" w:rsidRPr="0056459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Número de procesos de formación exclusivos para la Red de Gestoras </w:t>
            </w:r>
          </w:p>
          <w:p w:rsidR="00B95FD9" w:rsidRPr="0056459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Número de procesos de formación y simulacros implementados con los CCE </w:t>
            </w:r>
          </w:p>
          <w:p w:rsidR="00B95FD9" w:rsidRPr="0056459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Existencia de una herramienta específica para garantizar la participación de la Red de Gestoras en los espacios de toma de decisión (Cumple/No cumple). </w:t>
            </w:r>
          </w:p>
          <w:p w:rsidR="00B95FD9"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 xml:space="preserve">Existencia de una herramienta específica para garantizar la participación de representantes de cada uno de los pueblos indígenas, afros y grupos de mujeres en los espacios de toma de decisión </w:t>
            </w:r>
          </w:p>
          <w:p w:rsidR="00B95FD9" w:rsidRPr="00564599" w:rsidRDefault="00B95FD9" w:rsidP="00324DA1">
            <w:pPr>
              <w:shd w:val="clear" w:color="auto" w:fill="FFFFFF"/>
              <w:jc w:val="both"/>
              <w:rPr>
                <w:rFonts w:ascii="Calibri" w:hAnsi="Calibri"/>
                <w:color w:val="000000"/>
                <w:sz w:val="20"/>
                <w:szCs w:val="20"/>
              </w:rPr>
            </w:pPr>
          </w:p>
          <w:p w:rsidR="00B95FD9" w:rsidRPr="00924090" w:rsidRDefault="00B95FD9" w:rsidP="00564599">
            <w:pPr>
              <w:shd w:val="clear" w:color="auto" w:fill="FFFFFF"/>
              <w:jc w:val="both"/>
              <w:rPr>
                <w:rFonts w:ascii="Calibri" w:hAnsi="Calibri"/>
                <w:color w:val="000000"/>
                <w:sz w:val="20"/>
                <w:szCs w:val="20"/>
              </w:rPr>
            </w:pPr>
            <w:r w:rsidRPr="00564599">
              <w:rPr>
                <w:rFonts w:ascii="Calibri" w:hAnsi="Calibri"/>
                <w:color w:val="000000"/>
                <w:sz w:val="20"/>
                <w:szCs w:val="20"/>
              </w:rPr>
              <w:t>Número</w:t>
            </w:r>
            <w:r w:rsidR="007C1809">
              <w:rPr>
                <w:rFonts w:ascii="Calibri" w:hAnsi="Calibri"/>
                <w:color w:val="000000"/>
                <w:sz w:val="20"/>
                <w:szCs w:val="20"/>
              </w:rPr>
              <w:t xml:space="preserve"> de Puestos de Vigilancia hidro</w:t>
            </w:r>
            <w:r w:rsidRPr="00564599">
              <w:rPr>
                <w:rFonts w:ascii="Calibri" w:hAnsi="Calibri"/>
                <w:color w:val="000000"/>
                <w:sz w:val="20"/>
                <w:szCs w:val="20"/>
              </w:rPr>
              <w:t xml:space="preserve">meteorológica y Comunicación operando. </w:t>
            </w:r>
          </w:p>
          <w:p w:rsidR="00B95FD9" w:rsidRPr="00924090" w:rsidRDefault="00B95FD9" w:rsidP="00564599">
            <w:pPr>
              <w:shd w:val="clear" w:color="auto" w:fill="FFFFFF"/>
              <w:jc w:val="both"/>
              <w:rPr>
                <w:rFonts w:ascii="Calibri" w:eastAsia="Times New Roman" w:hAnsi="Calibri" w:cs="Calibri"/>
                <w:color w:val="000000"/>
                <w:sz w:val="20"/>
                <w:szCs w:val="20"/>
                <w:lang w:eastAsia="es-MX"/>
              </w:rPr>
            </w:pPr>
            <w:r w:rsidRPr="00564599">
              <w:rPr>
                <w:rStyle w:val="normaltextrun"/>
                <w:rFonts w:ascii="Calibri" w:hAnsi="Calibri"/>
                <w:color w:val="000000"/>
                <w:sz w:val="20"/>
                <w:szCs w:val="20"/>
                <w:shd w:val="clear" w:color="auto" w:fill="FFFFFF"/>
              </w:rPr>
              <w:t>Convenio Marco multisectorial firmado y en ejecución que garantice la participación de la mujer en la gestión de riesgo</w:t>
            </w:r>
            <w:r w:rsidRPr="00564599">
              <w:rPr>
                <w:rStyle w:val="eop"/>
                <w:rFonts w:ascii="Calibri" w:hAnsi="Calibri"/>
                <w:color w:val="000000"/>
                <w:sz w:val="20"/>
                <w:szCs w:val="20"/>
                <w:shd w:val="clear" w:color="auto" w:fill="FFFFFF"/>
              </w:rPr>
              <w:t> </w:t>
            </w:r>
            <w:r w:rsidRPr="00924090" w:rsidDel="000C3365">
              <w:rPr>
                <w:rFonts w:ascii="Calibri" w:eastAsia="Times New Roman" w:hAnsi="Calibri" w:cs="Calibri"/>
                <w:color w:val="000000"/>
                <w:sz w:val="20"/>
                <w:szCs w:val="20"/>
                <w:lang w:eastAsia="es-MX"/>
              </w:rPr>
              <w:t xml:space="preserve"> </w:t>
            </w:r>
          </w:p>
        </w:tc>
      </w:tr>
    </w:tbl>
    <w:p w:rsidR="002C06D7" w:rsidRDefault="002C06D7"/>
    <w:sectPr w:rsidR="002C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D9"/>
    <w:rsid w:val="00031C7A"/>
    <w:rsid w:val="00271AAE"/>
    <w:rsid w:val="002C06D7"/>
    <w:rsid w:val="00564599"/>
    <w:rsid w:val="007C1809"/>
    <w:rsid w:val="00B9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84C0"/>
  <w15:chartTrackingRefBased/>
  <w15:docId w15:val="{EF76D886-27F6-41FE-95A3-0C53A05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D9"/>
    <w:pPr>
      <w:spacing w:after="0" w:line="240" w:lineRule="auto"/>
    </w:pPr>
    <w:rPr>
      <w:sz w:val="24"/>
      <w:szCs w:val="24"/>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95FD9"/>
  </w:style>
  <w:style w:type="character" w:customStyle="1" w:styleId="eop">
    <w:name w:val="eop"/>
    <w:basedOn w:val="Fuentedeprrafopredeter"/>
    <w:rsid w:val="00B95FD9"/>
  </w:style>
  <w:style w:type="paragraph" w:styleId="Textodeglobo">
    <w:name w:val="Balloon Text"/>
    <w:basedOn w:val="Normal"/>
    <w:link w:val="TextodegloboCar"/>
    <w:uiPriority w:val="99"/>
    <w:semiHidden/>
    <w:unhideWhenUsed/>
    <w:rsid w:val="00B95F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FD9"/>
    <w:rPr>
      <w:rFonts w:ascii="Segoe UI" w:hAnsi="Segoe UI" w:cs="Segoe UI"/>
      <w:sz w:val="18"/>
      <w:szCs w:val="18"/>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0AA3F54DB17149B8ECCC567DBDB0FE" ma:contentTypeVersion="15" ma:contentTypeDescription="Crear nuevo documento." ma:contentTypeScope="" ma:versionID="596c3749578566ff9e8b3bb25b4b8943">
  <xsd:schema xmlns:xsd="http://www.w3.org/2001/XMLSchema" xmlns:xs="http://www.w3.org/2001/XMLSchema" xmlns:p="http://schemas.microsoft.com/office/2006/metadata/properties" xmlns:ns2="bdcd4807-731d-4ab0-ae37-8b60de2750fd" xmlns:ns3="358c792a-ecfd-44cb-a380-78d921cf192b" targetNamespace="http://schemas.microsoft.com/office/2006/metadata/properties" ma:root="true" ma:fieldsID="9169221157bdf42ded0d3e873446dcea" ns2:_="" ns3:_="">
    <xsd:import namespace="bdcd4807-731d-4ab0-ae37-8b60de2750fd"/>
    <xsd:import namespace="358c792a-ecfd-44cb-a380-78d921cf19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d4807-731d-4ab0-ae37-8b60de2750f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7bf2af5a-39ab-4405-8129-f03887c2eb91}" ma:internalName="TaxCatchAll" ma:showField="CatchAllData" ma:web="bdcd4807-731d-4ab0-ae37-8b60de275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c792a-ecfd-44cb-a380-78d921cf19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a489391-829f-434f-849b-c7b271fce1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cd4807-731d-4ab0-ae37-8b60de2750fd" xsi:nil="true"/>
    <lcf76f155ced4ddcb4097134ff3c332f xmlns="358c792a-ecfd-44cb-a380-78d921cf1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E96AE-823C-43BE-AF00-BC07402F7416}"/>
</file>

<file path=customXml/itemProps2.xml><?xml version="1.0" encoding="utf-8"?>
<ds:datastoreItem xmlns:ds="http://schemas.openxmlformats.org/officeDocument/2006/customXml" ds:itemID="{3A9BCF74-0B5D-4539-8358-B4C0C25065FF}"/>
</file>

<file path=customXml/itemProps3.xml><?xml version="1.0" encoding="utf-8"?>
<ds:datastoreItem xmlns:ds="http://schemas.openxmlformats.org/officeDocument/2006/customXml" ds:itemID="{1EA82AA7-9A70-4CA8-B89E-8971597F6EEE}"/>
</file>

<file path=docProps/app.xml><?xml version="1.0" encoding="utf-8"?>
<Properties xmlns="http://schemas.openxmlformats.org/officeDocument/2006/extended-properties" xmlns:vt="http://schemas.openxmlformats.org/officeDocument/2006/docPropsVTypes">
  <Template>Normal</Template>
  <TotalTime>7</TotalTime>
  <Pages>3</Pages>
  <Words>947</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Polimeni</dc:creator>
  <cp:keywords/>
  <dc:description/>
  <cp:lastModifiedBy>Jorge Polimeni</cp:lastModifiedBy>
  <cp:revision>3</cp:revision>
  <dcterms:created xsi:type="dcterms:W3CDTF">2024-05-20T14:56:00Z</dcterms:created>
  <dcterms:modified xsi:type="dcterms:W3CDTF">2024-05-20T15:51:00Z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0x010100110AA3F54DB17149B8ECCC567DBDB0FE</vt:lpwstr>
  </property>
</Properties>
</file>